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F2312" w14:textId="77777777" w:rsidR="008C516C" w:rsidRDefault="00091EC7">
      <w:pPr>
        <w:spacing w:before="82"/>
        <w:ind w:left="107"/>
        <w:rPr>
          <w:sz w:val="19"/>
        </w:rPr>
      </w:pPr>
      <w:r>
        <w:rPr>
          <w:sz w:val="19"/>
          <w:u w:val="single"/>
        </w:rPr>
        <w:t>WHEN RECORDED MAIL TO:</w:t>
      </w:r>
    </w:p>
    <w:p w14:paraId="6511221C" w14:textId="036198B9" w:rsidR="008C516C" w:rsidRDefault="00597094">
      <w:pPr>
        <w:spacing w:before="2" w:line="217" w:lineRule="exact"/>
        <w:ind w:left="108"/>
        <w:rPr>
          <w:sz w:val="19"/>
        </w:rPr>
      </w:pPr>
      <w:r>
        <w:rPr>
          <w:sz w:val="19"/>
        </w:rPr>
        <w:t>Payson City</w:t>
      </w:r>
    </w:p>
    <w:p w14:paraId="3D671368" w14:textId="189DA3EF" w:rsidR="00597094" w:rsidRDefault="00597094" w:rsidP="00597094">
      <w:pPr>
        <w:tabs>
          <w:tab w:val="left" w:pos="496"/>
        </w:tabs>
        <w:ind w:left="-286"/>
        <w:rPr>
          <w:sz w:val="19"/>
        </w:rPr>
      </w:pPr>
      <w:r>
        <w:rPr>
          <w:sz w:val="19"/>
        </w:rPr>
        <w:t xml:space="preserve">        439 West Utah Ave.</w:t>
      </w:r>
    </w:p>
    <w:p w14:paraId="5D566B54" w14:textId="768CF4F0" w:rsidR="008C516C" w:rsidRPr="00597094" w:rsidRDefault="00597094" w:rsidP="00597094">
      <w:pPr>
        <w:tabs>
          <w:tab w:val="left" w:pos="496"/>
        </w:tabs>
        <w:ind w:left="-286"/>
        <w:rPr>
          <w:sz w:val="19"/>
        </w:rPr>
      </w:pPr>
      <w:r>
        <w:rPr>
          <w:sz w:val="19"/>
        </w:rPr>
        <w:t xml:space="preserve">        Payson, UT 84651</w:t>
      </w:r>
    </w:p>
    <w:p w14:paraId="688A27A6" w14:textId="77777777" w:rsidR="008C516C" w:rsidRDefault="008C516C">
      <w:pPr>
        <w:pStyle w:val="BodyText"/>
        <w:rPr>
          <w:rFonts w:ascii="Consolas"/>
          <w:sz w:val="22"/>
        </w:rPr>
      </w:pPr>
    </w:p>
    <w:p w14:paraId="171FF7F4" w14:textId="77777777" w:rsidR="008C516C" w:rsidRDefault="008C516C">
      <w:pPr>
        <w:pStyle w:val="BodyText"/>
        <w:spacing w:before="7"/>
        <w:rPr>
          <w:rFonts w:ascii="Consolas"/>
          <w:sz w:val="17"/>
        </w:rPr>
      </w:pPr>
    </w:p>
    <w:p w14:paraId="40780DA7" w14:textId="701BF0C1" w:rsidR="008C516C" w:rsidRDefault="00091EC7" w:rsidP="006D01DE">
      <w:pPr>
        <w:ind w:left="7110"/>
        <w:rPr>
          <w:sz w:val="19"/>
        </w:rPr>
      </w:pPr>
      <w:r>
        <w:rPr>
          <w:i/>
          <w:sz w:val="19"/>
        </w:rPr>
        <w:t>Space above for County › Recorder's u</w:t>
      </w:r>
      <w:r>
        <w:rPr>
          <w:sz w:val="19"/>
        </w:rPr>
        <w:t>se</w:t>
      </w:r>
    </w:p>
    <w:p w14:paraId="58B09A7B" w14:textId="738F811B" w:rsidR="008C516C" w:rsidRDefault="00091EC7" w:rsidP="006D01DE">
      <w:pPr>
        <w:pStyle w:val="BodyText"/>
        <w:spacing w:before="4"/>
        <w:ind w:left="7110"/>
      </w:pPr>
      <w:r>
        <w:t>PARCEL I.D.# 30:0</w:t>
      </w:r>
      <w:r w:rsidR="001A1ED5">
        <w:t>27</w:t>
      </w:r>
      <w:r>
        <w:t>:00</w:t>
      </w:r>
      <w:r w:rsidR="001A1ED5">
        <w:t>91</w:t>
      </w:r>
    </w:p>
    <w:p w14:paraId="0A234039" w14:textId="77777777" w:rsidR="008C516C" w:rsidRDefault="008C516C">
      <w:pPr>
        <w:pStyle w:val="BodyText"/>
        <w:spacing w:before="5"/>
      </w:pPr>
    </w:p>
    <w:p w14:paraId="53B8142E" w14:textId="77777777" w:rsidR="0018452D" w:rsidRDefault="00091EC7" w:rsidP="0018452D">
      <w:pPr>
        <w:spacing w:before="1"/>
        <w:ind w:left="61"/>
        <w:jc w:val="center"/>
        <w:rPr>
          <w:b/>
          <w:sz w:val="28"/>
        </w:rPr>
      </w:pPr>
      <w:r>
        <w:rPr>
          <w:b/>
          <w:sz w:val="28"/>
        </w:rPr>
        <w:t xml:space="preserve">RIGHT-OF-WAY </w:t>
      </w:r>
      <w:r w:rsidRPr="001A1ED5">
        <w:rPr>
          <w:b/>
          <w:sz w:val="28"/>
        </w:rPr>
        <w:t>AND EASEMENT GRANT</w:t>
      </w:r>
    </w:p>
    <w:p w14:paraId="717F6258" w14:textId="77777777" w:rsidR="0018452D" w:rsidRDefault="0018452D" w:rsidP="0018452D">
      <w:pPr>
        <w:spacing w:before="1"/>
        <w:ind w:left="61"/>
        <w:rPr>
          <w:b/>
          <w:sz w:val="28"/>
        </w:rPr>
      </w:pPr>
    </w:p>
    <w:p w14:paraId="6A6367F2" w14:textId="26FCD797" w:rsidR="008C516C" w:rsidRPr="0018452D" w:rsidRDefault="00DB7E9C" w:rsidP="0018452D">
      <w:pPr>
        <w:spacing w:before="1"/>
        <w:ind w:left="61"/>
        <w:jc w:val="both"/>
      </w:pPr>
      <w:r w:rsidRPr="0018452D">
        <w:rPr>
          <w:b/>
          <w:bCs/>
        </w:rPr>
        <w:t>BOARD OF EDUCATION OF NEBO SCHOOL DISTRICT</w:t>
      </w:r>
      <w:r w:rsidR="00597094" w:rsidRPr="0018452D">
        <w:t xml:space="preserve">, a body corporate </w:t>
      </w:r>
      <w:r w:rsidR="001C6FEA" w:rsidRPr="0018452D">
        <w:t xml:space="preserve">and politic </w:t>
      </w:r>
      <w:r w:rsidR="00597094" w:rsidRPr="0018452D">
        <w:t>of the State of Utah</w:t>
      </w:r>
      <w:r w:rsidR="00091EC7" w:rsidRPr="0018452D">
        <w:t xml:space="preserve">, (“Grantor”), does hereby convey to </w:t>
      </w:r>
      <w:r w:rsidRPr="0018452D">
        <w:rPr>
          <w:b/>
          <w:bCs/>
        </w:rPr>
        <w:t>PAYSON CITY CORPORATION</w:t>
      </w:r>
      <w:r w:rsidR="00597094" w:rsidRPr="0018452D">
        <w:t>, a municipal corporation and political subdivision of the State of Utah</w:t>
      </w:r>
      <w:r w:rsidR="001A1ED5" w:rsidRPr="0018452D">
        <w:t xml:space="preserve"> </w:t>
      </w:r>
      <w:r w:rsidR="00091EC7" w:rsidRPr="0018452D">
        <w:t xml:space="preserve">(“Grantee”), its successors and assigns, for the sum of ONE DOLLAR ($1.00) in hand paid and other good and valuable consideration, receipt of which is hereby acknowledged, a non-exclusive right-of-way and easement (“Easement”) </w:t>
      </w:r>
      <w:r w:rsidR="007E02D4" w:rsidRPr="0018452D">
        <w:t>as shown in Exhibit A</w:t>
      </w:r>
      <w:r w:rsidR="00091EC7" w:rsidRPr="0018452D">
        <w:t xml:space="preserve"> to construct, lay, maintain, operate, repair, alter, inspect, protect, make connections to, remove, replace</w:t>
      </w:r>
      <w:r w:rsidR="001C6FEA" w:rsidRPr="0018452D">
        <w:t>,</w:t>
      </w:r>
      <w:r w:rsidR="00091EC7" w:rsidRPr="0018452D">
        <w:t xml:space="preserve"> and abandon in place (below ground) pipelines, valves, valve boxes</w:t>
      </w:r>
      <w:r w:rsidR="001C6FEA" w:rsidRPr="0018452D">
        <w:t>,</w:t>
      </w:r>
      <w:r w:rsidR="00091EC7" w:rsidRPr="0018452D">
        <w:t xml:space="preserve"> and facilities and other </w:t>
      </w:r>
      <w:r w:rsidR="001A1ED5" w:rsidRPr="0018452D">
        <w:t xml:space="preserve">storm drain </w:t>
      </w:r>
      <w:r w:rsidR="00091EC7" w:rsidRPr="0018452D">
        <w:t>facilities (collectively, the "Facilities"), said Easement being situated in the County of Utah, State of Utah, as shown on Exhibit A attached hereto and by this reference made a part hereof and more particularly described as follows,</w:t>
      </w:r>
      <w:r w:rsidR="00091EC7" w:rsidRPr="0018452D">
        <w:rPr>
          <w:spacing w:val="31"/>
        </w:rPr>
        <w:t xml:space="preserve"> </w:t>
      </w:r>
      <w:r w:rsidR="00091EC7" w:rsidRPr="0018452D">
        <w:t>to-wit:</w:t>
      </w:r>
    </w:p>
    <w:p w14:paraId="0297AB13" w14:textId="77777777" w:rsidR="008C516C" w:rsidRPr="0018452D" w:rsidRDefault="008C516C">
      <w:pPr>
        <w:pStyle w:val="BodyText"/>
        <w:spacing w:before="11"/>
        <w:rPr>
          <w:sz w:val="22"/>
          <w:szCs w:val="22"/>
        </w:rPr>
      </w:pPr>
    </w:p>
    <w:p w14:paraId="74718932" w14:textId="16449D4B" w:rsidR="001A1ED5" w:rsidRPr="0018452D" w:rsidRDefault="001A1ED5" w:rsidP="006D01DE">
      <w:pPr>
        <w:ind w:left="540" w:right="504"/>
        <w:jc w:val="both"/>
      </w:pPr>
      <w:r w:rsidRPr="0018452D">
        <w:t>COMMENCING AT THE SOUTHWEST CORNER OF PARCEL 30:027:0091, SAID POINT BEING S 0°45'5” E 18.09 FEET ALONG THE SECTION LINE AND EAST 483.96 FEET FROM THE WEST QUARTER CORNER OF SECTION 9, TOWNSHIP 9 SOUTH, RANGE 2 EAST, OF THE SALT LAKE BASE AND MERIDIAN</w:t>
      </w:r>
      <w:r w:rsidR="001C6FEA" w:rsidRPr="0018452D">
        <w:t>,</w:t>
      </w:r>
      <w:r w:rsidRPr="0018452D">
        <w:t xml:space="preserve"> AND RUNNING THENCE: N 0°23'27” E</w:t>
      </w:r>
      <w:r w:rsidR="001C6FEA" w:rsidRPr="0018452D">
        <w:t xml:space="preserve"> </w:t>
      </w:r>
      <w:r w:rsidRPr="0018452D">
        <w:t>90.02 FEET; THENCE N 76°22'55” E 88.45 FEET; THENCE EAST 31.07 FEET; THENCE SOUTH 38.00 FEET; THENCE WEST 32.00 FEET; THENCE NORTH 16.00 FEET; THENCE WEST 4.94 FEET; THENCE S 76°22'55" W 64.78 FEET; S 0°46'48" W 73.68 FEET TO A POINT ON THE SOUTH PARCEL LINE; THENCE N 89°44'24" W 16.76 FEET ALONG THE SOUTH PARCEL LINE TO THE POINT OF BEGINNING.</w:t>
      </w:r>
    </w:p>
    <w:p w14:paraId="005ABDCB" w14:textId="77777777" w:rsidR="001A1ED5" w:rsidRPr="0018452D" w:rsidRDefault="001A1ED5" w:rsidP="001A1ED5">
      <w:pPr>
        <w:ind w:left="720" w:firstLine="720"/>
      </w:pPr>
    </w:p>
    <w:p w14:paraId="42A934D5" w14:textId="6A7E0A37" w:rsidR="001A1ED5" w:rsidRPr="0018452D" w:rsidRDefault="001A1ED5" w:rsidP="001724DE">
      <w:pPr>
        <w:ind w:firstLine="540"/>
      </w:pPr>
      <w:r w:rsidRPr="0018452D">
        <w:t>CONTAINS 0.096 ACRES.</w:t>
      </w:r>
    </w:p>
    <w:p w14:paraId="12DB3135" w14:textId="68A87CD7" w:rsidR="008C516C" w:rsidRPr="0018452D" w:rsidRDefault="00091EC7" w:rsidP="006D01DE">
      <w:pPr>
        <w:pStyle w:val="BodyText"/>
        <w:spacing w:before="185" w:line="237" w:lineRule="auto"/>
        <w:ind w:left="540" w:right="504"/>
        <w:jc w:val="both"/>
        <w:rPr>
          <w:sz w:val="22"/>
          <w:szCs w:val="22"/>
        </w:rPr>
      </w:pPr>
      <w:r w:rsidRPr="0018452D">
        <w:rPr>
          <w:sz w:val="22"/>
          <w:szCs w:val="22"/>
        </w:rPr>
        <w:t>TO HAVE AND TO HOLD the same unto said Grantee, its successors and assigns, in perpetuity, with the right of ingress and egress to and from said Easement to construct, lay, maintain, operate, repair, alter, inspect, protect, make connections to, remove, replace</w:t>
      </w:r>
      <w:r w:rsidR="001C6FEA" w:rsidRPr="0018452D">
        <w:rPr>
          <w:sz w:val="22"/>
          <w:szCs w:val="22"/>
        </w:rPr>
        <w:t>,</w:t>
      </w:r>
      <w:r w:rsidRPr="0018452D">
        <w:rPr>
          <w:sz w:val="22"/>
          <w:szCs w:val="22"/>
        </w:rPr>
        <w:t xml:space="preserve"> and abandon in place </w:t>
      </w:r>
      <w:r w:rsidR="001A1ED5" w:rsidRPr="0018452D">
        <w:rPr>
          <w:sz w:val="22"/>
          <w:szCs w:val="22"/>
        </w:rPr>
        <w:t>(</w:t>
      </w:r>
      <w:r w:rsidRPr="0018452D">
        <w:rPr>
          <w:sz w:val="22"/>
          <w:szCs w:val="22"/>
        </w:rPr>
        <w:t xml:space="preserve">below ground) the same. This Easement shall carry with it the right to use any available </w:t>
      </w:r>
      <w:r w:rsidR="009E132A" w:rsidRPr="0018452D">
        <w:rPr>
          <w:sz w:val="22"/>
          <w:szCs w:val="22"/>
        </w:rPr>
        <w:t xml:space="preserve">Barnett </w:t>
      </w:r>
      <w:r w:rsidR="001C6FEA" w:rsidRPr="0018452D">
        <w:rPr>
          <w:sz w:val="22"/>
          <w:szCs w:val="22"/>
        </w:rPr>
        <w:t xml:space="preserve">Elementary School </w:t>
      </w:r>
      <w:r w:rsidR="009E132A" w:rsidRPr="0018452D">
        <w:rPr>
          <w:sz w:val="22"/>
          <w:szCs w:val="22"/>
        </w:rPr>
        <w:t>Parking Lot</w:t>
      </w:r>
      <w:r w:rsidRPr="0018452D">
        <w:rPr>
          <w:sz w:val="22"/>
          <w:szCs w:val="22"/>
        </w:rPr>
        <w:t xml:space="preserve"> for the purpose of conducting the foregoing activities. During temporary p</w:t>
      </w:r>
      <w:r w:rsidR="009E132A" w:rsidRPr="0018452D">
        <w:rPr>
          <w:sz w:val="22"/>
          <w:szCs w:val="22"/>
        </w:rPr>
        <w:t>e</w:t>
      </w:r>
      <w:r w:rsidRPr="0018452D">
        <w:rPr>
          <w:sz w:val="22"/>
          <w:szCs w:val="22"/>
        </w:rPr>
        <w:t>riods, Grantee may use such portion of the property along and adjacent to the Easement as may be reasonably necessary in connection with construction,</w:t>
      </w:r>
      <w:r w:rsidRPr="0018452D">
        <w:rPr>
          <w:spacing w:val="30"/>
          <w:sz w:val="22"/>
          <w:szCs w:val="22"/>
        </w:rPr>
        <w:t xml:space="preserve"> </w:t>
      </w:r>
      <w:r w:rsidRPr="0018452D">
        <w:rPr>
          <w:sz w:val="22"/>
          <w:szCs w:val="22"/>
        </w:rPr>
        <w:t>maintenance,</w:t>
      </w:r>
      <w:r w:rsidR="001C6FEA" w:rsidRPr="0018452D">
        <w:rPr>
          <w:sz w:val="22"/>
          <w:szCs w:val="22"/>
        </w:rPr>
        <w:t xml:space="preserve"> </w:t>
      </w:r>
      <w:r w:rsidRPr="0018452D">
        <w:rPr>
          <w:sz w:val="22"/>
          <w:szCs w:val="22"/>
        </w:rPr>
        <w:t>repair, removal</w:t>
      </w:r>
      <w:r w:rsidR="001C6FEA" w:rsidRPr="0018452D">
        <w:rPr>
          <w:sz w:val="22"/>
          <w:szCs w:val="22"/>
        </w:rPr>
        <w:t>,</w:t>
      </w:r>
      <w:r w:rsidRPr="0018452D">
        <w:rPr>
          <w:sz w:val="22"/>
          <w:szCs w:val="22"/>
        </w:rPr>
        <w:t xml:space="preserve"> or replacement of the Facilities. Grantor shall have the right to use said premises except for the purposes for which this Easement is granted to Grantee, provided such use does not interfere with the Facilities or any other rights granted to Grantee</w:t>
      </w:r>
      <w:r w:rsidRPr="0018452D">
        <w:rPr>
          <w:spacing w:val="56"/>
          <w:sz w:val="22"/>
          <w:szCs w:val="22"/>
        </w:rPr>
        <w:t xml:space="preserve"> </w:t>
      </w:r>
      <w:r w:rsidRPr="0018452D">
        <w:rPr>
          <w:sz w:val="22"/>
          <w:szCs w:val="22"/>
        </w:rPr>
        <w:t>hereunder.</w:t>
      </w:r>
    </w:p>
    <w:p w14:paraId="7DFB697C" w14:textId="77777777" w:rsidR="008C516C" w:rsidRPr="0018452D" w:rsidRDefault="008C516C">
      <w:pPr>
        <w:pStyle w:val="BodyText"/>
        <w:spacing w:before="6"/>
        <w:rPr>
          <w:sz w:val="22"/>
          <w:szCs w:val="22"/>
        </w:rPr>
      </w:pPr>
    </w:p>
    <w:p w14:paraId="310AB2D5" w14:textId="63DB9BB7" w:rsidR="008C516C" w:rsidRDefault="00091EC7" w:rsidP="006D01DE">
      <w:pPr>
        <w:pStyle w:val="BodyText"/>
        <w:spacing w:before="1" w:line="242" w:lineRule="auto"/>
        <w:ind w:right="54"/>
        <w:jc w:val="both"/>
        <w:rPr>
          <w:sz w:val="22"/>
          <w:szCs w:val="22"/>
        </w:rPr>
      </w:pPr>
      <w:r w:rsidRPr="0018452D">
        <w:rPr>
          <w:sz w:val="22"/>
          <w:szCs w:val="22"/>
        </w:rPr>
        <w:t>Without limiting the generality of the foregoing, Grantor does hereby covenant, warrant</w:t>
      </w:r>
      <w:r w:rsidR="001C6FEA" w:rsidRPr="0018452D">
        <w:rPr>
          <w:sz w:val="22"/>
          <w:szCs w:val="22"/>
        </w:rPr>
        <w:t>,</w:t>
      </w:r>
      <w:r w:rsidRPr="0018452D">
        <w:rPr>
          <w:sz w:val="22"/>
          <w:szCs w:val="22"/>
        </w:rPr>
        <w:t xml:space="preserve"> and agree as follows:</w:t>
      </w:r>
    </w:p>
    <w:p w14:paraId="7AF1B0E4" w14:textId="77777777" w:rsidR="001724DE" w:rsidRPr="0018452D" w:rsidRDefault="001724DE" w:rsidP="001724DE">
      <w:pPr>
        <w:pStyle w:val="BodyText"/>
        <w:spacing w:before="1" w:line="242" w:lineRule="auto"/>
        <w:ind w:right="601"/>
        <w:jc w:val="both"/>
        <w:rPr>
          <w:sz w:val="22"/>
          <w:szCs w:val="22"/>
        </w:rPr>
      </w:pPr>
    </w:p>
    <w:p w14:paraId="47410F09" w14:textId="25EAA5D0" w:rsidR="001724DE" w:rsidRDefault="00091EC7" w:rsidP="006D01DE">
      <w:pPr>
        <w:pStyle w:val="ListParagraph"/>
        <w:numPr>
          <w:ilvl w:val="2"/>
          <w:numId w:val="1"/>
        </w:numPr>
        <w:tabs>
          <w:tab w:val="left" w:pos="2282"/>
        </w:tabs>
        <w:spacing w:before="6" w:line="242" w:lineRule="auto"/>
        <w:ind w:left="900" w:right="504" w:hanging="360"/>
      </w:pPr>
      <w:r w:rsidRPr="001724DE">
        <w:t>Grantor shall not build or construct, nor permit to be built or constructed, over or across the Easement, any building, retaining walls, rock walls, footings</w:t>
      </w:r>
      <w:r w:rsidR="001C6FEA" w:rsidRPr="001724DE">
        <w:t>,</w:t>
      </w:r>
      <w:r w:rsidRPr="001724DE">
        <w:t xml:space="preserve"> or improvement which impairs the maintenance or operation of the</w:t>
      </w:r>
      <w:r w:rsidRPr="001724DE">
        <w:rPr>
          <w:spacing w:val="-5"/>
        </w:rPr>
        <w:t xml:space="preserve"> </w:t>
      </w:r>
      <w:r w:rsidRPr="001724DE">
        <w:t>Facilities.</w:t>
      </w:r>
    </w:p>
    <w:p w14:paraId="35E7D25D" w14:textId="77777777" w:rsidR="001724DE" w:rsidRDefault="001724DE" w:rsidP="001724DE">
      <w:pPr>
        <w:pStyle w:val="ListParagraph"/>
        <w:tabs>
          <w:tab w:val="left" w:pos="2282"/>
        </w:tabs>
        <w:spacing w:before="6" w:line="242" w:lineRule="auto"/>
        <w:ind w:left="1559" w:right="604" w:firstLine="0"/>
      </w:pPr>
    </w:p>
    <w:p w14:paraId="52D2EA6B" w14:textId="4308E4DF" w:rsidR="008C516C" w:rsidRPr="0018452D" w:rsidRDefault="00091EC7" w:rsidP="006D01DE">
      <w:pPr>
        <w:pStyle w:val="ListParagraph"/>
        <w:numPr>
          <w:ilvl w:val="2"/>
          <w:numId w:val="1"/>
        </w:numPr>
        <w:tabs>
          <w:tab w:val="left" w:pos="2282"/>
        </w:tabs>
        <w:spacing w:before="6" w:line="242" w:lineRule="auto"/>
        <w:ind w:left="900" w:right="504" w:hanging="360"/>
      </w:pPr>
      <w:r w:rsidRPr="0018452D">
        <w:t>Grantor shall not change the contour within the Easement without prior written consent of</w:t>
      </w:r>
      <w:r w:rsidRPr="001724DE">
        <w:rPr>
          <w:spacing w:val="16"/>
        </w:rPr>
        <w:t xml:space="preserve"> </w:t>
      </w:r>
      <w:r w:rsidRPr="0018452D">
        <w:t>Grantee.</w:t>
      </w:r>
    </w:p>
    <w:p w14:paraId="0077FAD1" w14:textId="77777777" w:rsidR="008C516C" w:rsidRPr="0018452D" w:rsidRDefault="008C516C">
      <w:pPr>
        <w:pStyle w:val="BodyText"/>
        <w:spacing w:before="1"/>
        <w:rPr>
          <w:sz w:val="22"/>
          <w:szCs w:val="22"/>
        </w:rPr>
      </w:pPr>
    </w:p>
    <w:p w14:paraId="15DDE5A4" w14:textId="1B1D5941" w:rsidR="008C516C" w:rsidRPr="0018452D" w:rsidRDefault="00091EC7" w:rsidP="006D01DE">
      <w:pPr>
        <w:pStyle w:val="ListParagraph"/>
        <w:numPr>
          <w:ilvl w:val="2"/>
          <w:numId w:val="1"/>
        </w:numPr>
        <w:tabs>
          <w:tab w:val="left" w:pos="2282"/>
        </w:tabs>
        <w:spacing w:before="1" w:line="242" w:lineRule="auto"/>
        <w:ind w:left="900" w:right="504" w:hanging="360"/>
      </w:pPr>
      <w:r w:rsidRPr="0018452D">
        <w:t>Grantor shall not plant, or permit to be planted, any deep</w:t>
      </w:r>
      <w:r w:rsidR="001C6FEA" w:rsidRPr="0018452D">
        <w:t>-</w:t>
      </w:r>
      <w:r w:rsidRPr="0018452D">
        <w:t>rooted trees, or any vegetation with roots that may damage the Facilities, within the Easement, without prior written consent of</w:t>
      </w:r>
      <w:r w:rsidRPr="0018452D">
        <w:rPr>
          <w:spacing w:val="16"/>
        </w:rPr>
        <w:t xml:space="preserve"> </w:t>
      </w:r>
      <w:r w:rsidRPr="0018452D">
        <w:t>Grantee.</w:t>
      </w:r>
    </w:p>
    <w:p w14:paraId="7CBF8384" w14:textId="77777777" w:rsidR="008C516C" w:rsidRPr="0018452D" w:rsidRDefault="008C516C">
      <w:pPr>
        <w:pStyle w:val="BodyText"/>
        <w:spacing w:before="1"/>
        <w:rPr>
          <w:sz w:val="22"/>
          <w:szCs w:val="22"/>
        </w:rPr>
      </w:pPr>
    </w:p>
    <w:p w14:paraId="5A255A79" w14:textId="77777777" w:rsidR="008C516C" w:rsidRPr="0018452D" w:rsidRDefault="00091EC7" w:rsidP="006D01DE">
      <w:pPr>
        <w:pStyle w:val="ListParagraph"/>
        <w:numPr>
          <w:ilvl w:val="2"/>
          <w:numId w:val="1"/>
        </w:numPr>
        <w:tabs>
          <w:tab w:val="left" w:pos="2282"/>
        </w:tabs>
        <w:spacing w:line="247" w:lineRule="auto"/>
        <w:ind w:left="900" w:right="504" w:hanging="360"/>
      </w:pPr>
      <w:r w:rsidRPr="0018452D">
        <w:t>Grantor shall not place personal property within the Easement that impairs the maintenance or operation of the</w:t>
      </w:r>
      <w:r w:rsidRPr="0018452D">
        <w:rPr>
          <w:spacing w:val="25"/>
        </w:rPr>
        <w:t xml:space="preserve"> </w:t>
      </w:r>
      <w:r w:rsidRPr="0018452D">
        <w:t>Facilities.</w:t>
      </w:r>
    </w:p>
    <w:p w14:paraId="660CAB65" w14:textId="77777777" w:rsidR="008C516C" w:rsidRPr="0018452D" w:rsidRDefault="008C516C">
      <w:pPr>
        <w:pStyle w:val="BodyText"/>
        <w:spacing w:before="7"/>
        <w:rPr>
          <w:sz w:val="22"/>
          <w:szCs w:val="22"/>
        </w:rPr>
      </w:pPr>
    </w:p>
    <w:p w14:paraId="0F1840EC" w14:textId="2574D2BB" w:rsidR="008C516C" w:rsidRPr="0018452D" w:rsidRDefault="00091EC7" w:rsidP="006D01DE">
      <w:pPr>
        <w:pStyle w:val="ListParagraph"/>
        <w:numPr>
          <w:ilvl w:val="2"/>
          <w:numId w:val="1"/>
        </w:numPr>
        <w:tabs>
          <w:tab w:val="left" w:pos="2282"/>
        </w:tabs>
        <w:ind w:left="900" w:right="504" w:hanging="360"/>
      </w:pPr>
      <w:r w:rsidRPr="0018452D">
        <w:t>Grantee shall have the right to cut and remove timber, trees, brush, overhanging branches, landscaping</w:t>
      </w:r>
      <w:r w:rsidR="001C6FEA" w:rsidRPr="0018452D">
        <w:t>,</w:t>
      </w:r>
      <w:r w:rsidRPr="0018452D">
        <w:t xml:space="preserve"> and improvements or other obstructions of any kind and nature which</w:t>
      </w:r>
      <w:r w:rsidRPr="0018452D">
        <w:rPr>
          <w:spacing w:val="-38"/>
        </w:rPr>
        <w:t xml:space="preserve"> </w:t>
      </w:r>
      <w:r w:rsidRPr="0018452D">
        <w:t>may injure or interfere with Grantee’s use, occupation</w:t>
      </w:r>
      <w:r w:rsidR="001C6FEA" w:rsidRPr="0018452D">
        <w:t>,</w:t>
      </w:r>
      <w:r w:rsidRPr="0018452D">
        <w:t xml:space="preserve"> or enjoyment of this Easement, without liability to Grantor, and without any obligation of restoration or</w:t>
      </w:r>
      <w:r w:rsidRPr="0018452D">
        <w:rPr>
          <w:spacing w:val="56"/>
        </w:rPr>
        <w:t xml:space="preserve"> </w:t>
      </w:r>
      <w:r w:rsidRPr="0018452D">
        <w:t>compensation.</w:t>
      </w:r>
    </w:p>
    <w:p w14:paraId="307F618C" w14:textId="77777777" w:rsidR="008C516C" w:rsidRPr="0018452D" w:rsidRDefault="008C516C">
      <w:pPr>
        <w:pStyle w:val="BodyText"/>
        <w:spacing w:before="11"/>
        <w:rPr>
          <w:sz w:val="22"/>
          <w:szCs w:val="22"/>
        </w:rPr>
      </w:pPr>
    </w:p>
    <w:p w14:paraId="21CDFA19" w14:textId="0DC5297A" w:rsidR="008C516C" w:rsidRPr="0018452D" w:rsidRDefault="00091EC7" w:rsidP="006D01DE">
      <w:pPr>
        <w:pStyle w:val="ListParagraph"/>
        <w:numPr>
          <w:ilvl w:val="2"/>
          <w:numId w:val="1"/>
        </w:numPr>
        <w:tabs>
          <w:tab w:val="left" w:pos="2282"/>
        </w:tabs>
        <w:ind w:left="900" w:right="504" w:hanging="360"/>
      </w:pPr>
      <w:r w:rsidRPr="0018452D">
        <w:t>Grantor agrees to indemnify, hold harmless</w:t>
      </w:r>
      <w:r w:rsidR="001C6FEA" w:rsidRPr="0018452D">
        <w:t>,</w:t>
      </w:r>
      <w:r w:rsidRPr="0018452D">
        <w:t xml:space="preserve"> and defend Grantee, its agents and employees, from all claims, mechanics liens, demands, damages, actions, costs and charges for personal injury and property damage, and any other liabilities, including attorney’s fees, arising out of or by any reason of Grantor’s use of the Easement or any activities conducted thereon by Grantor, Grantor’s agents, employees, invitees or as a result of Grantor’s</w:t>
      </w:r>
      <w:r w:rsidRPr="0018452D">
        <w:rPr>
          <w:spacing w:val="43"/>
        </w:rPr>
        <w:t xml:space="preserve"> </w:t>
      </w:r>
      <w:r w:rsidRPr="0018452D">
        <w:t>negligence.</w:t>
      </w:r>
    </w:p>
    <w:p w14:paraId="76005A6F" w14:textId="77777777" w:rsidR="008C516C" w:rsidRPr="0018452D" w:rsidRDefault="008C516C">
      <w:pPr>
        <w:pStyle w:val="BodyText"/>
        <w:spacing w:before="10"/>
        <w:rPr>
          <w:sz w:val="22"/>
          <w:szCs w:val="22"/>
        </w:rPr>
      </w:pPr>
    </w:p>
    <w:p w14:paraId="56E5B14B" w14:textId="3599B178" w:rsidR="00622327" w:rsidRPr="00622327" w:rsidRDefault="00622327" w:rsidP="00622327">
      <w:pPr>
        <w:jc w:val="both"/>
      </w:pPr>
      <w:r>
        <w:rPr>
          <w:rFonts w:eastAsia="Calibri"/>
        </w:rPr>
        <w:t xml:space="preserve">The parties </w:t>
      </w:r>
      <w:r w:rsidRPr="00622327">
        <w:rPr>
          <w:rFonts w:eastAsia="Calibri"/>
        </w:rPr>
        <w:t>hereby acknowledge and agree that</w:t>
      </w:r>
      <w:r>
        <w:rPr>
          <w:rFonts w:eastAsia="Calibri"/>
        </w:rPr>
        <w:t xml:space="preserve"> both Grantor and Grantee are </w:t>
      </w:r>
      <w:r w:rsidRPr="00622327">
        <w:rPr>
          <w:rFonts w:eastAsia="Calibri"/>
        </w:rPr>
        <w:t>governmental entit</w:t>
      </w:r>
      <w:r>
        <w:rPr>
          <w:rFonts w:eastAsia="Calibri"/>
        </w:rPr>
        <w:t>ies</w:t>
      </w:r>
      <w:r w:rsidRPr="00622327">
        <w:rPr>
          <w:rFonts w:eastAsia="Calibri"/>
        </w:rPr>
        <w:t xml:space="preserve"> under the </w:t>
      </w:r>
      <w:r w:rsidRPr="00622327">
        <w:rPr>
          <w:rFonts w:eastAsia="Calibri"/>
          <w:i/>
        </w:rPr>
        <w:t>Utah Governmental Immunity Act</w:t>
      </w:r>
      <w:r w:rsidRPr="00622327">
        <w:rPr>
          <w:rFonts w:eastAsia="Calibri"/>
        </w:rPr>
        <w:t xml:space="preserve">, </w:t>
      </w:r>
      <w:r w:rsidRPr="00622327">
        <w:rPr>
          <w:rFonts w:eastAsia="Calibri"/>
          <w:iCs/>
          <w:smallCaps/>
        </w:rPr>
        <w:t>Utah Code Ann.</w:t>
      </w:r>
      <w:r w:rsidRPr="00622327">
        <w:rPr>
          <w:rFonts w:eastAsia="Calibri"/>
        </w:rPr>
        <w:t xml:space="preserve">, §63G-7-101, et seq. (“UGIA”). Nothing in this </w:t>
      </w:r>
      <w:r>
        <w:rPr>
          <w:rFonts w:eastAsia="Calibri"/>
        </w:rPr>
        <w:t xml:space="preserve">Easement </w:t>
      </w:r>
      <w:r w:rsidRPr="00622327">
        <w:rPr>
          <w:rFonts w:eastAsia="Calibri"/>
        </w:rPr>
        <w:t xml:space="preserve">shall be construed as a waiver of any rights, immunities, or defenses otherwise applicable under the UGIA, including the provisions of </w:t>
      </w:r>
      <w:r w:rsidRPr="00622327">
        <w:rPr>
          <w:rFonts w:eastAsia="Calibri"/>
          <w:iCs/>
          <w:smallCaps/>
        </w:rPr>
        <w:t>Utah Code Ann.</w:t>
      </w:r>
      <w:r w:rsidRPr="00622327">
        <w:rPr>
          <w:rFonts w:eastAsia="Calibri"/>
        </w:rPr>
        <w:t xml:space="preserve">, §63G-7-604 regarding limitation of judgments, or the Eleventh Amendment to the Constitution of the United States. In addition, it is further acknowledged and agreed that any liabilities or obligations imposed by this </w:t>
      </w:r>
      <w:r>
        <w:rPr>
          <w:rFonts w:eastAsia="Calibri"/>
        </w:rPr>
        <w:t>Easement</w:t>
      </w:r>
      <w:r w:rsidRPr="00622327">
        <w:rPr>
          <w:rFonts w:eastAsia="Calibri"/>
        </w:rPr>
        <w:t xml:space="preserve"> are limited to the UGIA damage cap amounts as per </w:t>
      </w:r>
      <w:r w:rsidRPr="00622327">
        <w:rPr>
          <w:rFonts w:eastAsia="Calibri"/>
          <w:iCs/>
          <w:smallCaps/>
        </w:rPr>
        <w:t>Utah Code Ann.</w:t>
      </w:r>
      <w:r w:rsidRPr="00622327">
        <w:rPr>
          <w:rFonts w:eastAsia="Calibri"/>
        </w:rPr>
        <w:t>, §63</w:t>
      </w:r>
      <w:r>
        <w:rPr>
          <w:rFonts w:eastAsia="Calibri"/>
        </w:rPr>
        <w:t>G</w:t>
      </w:r>
      <w:r w:rsidRPr="00622327">
        <w:rPr>
          <w:rFonts w:eastAsia="Calibri"/>
        </w:rPr>
        <w:t xml:space="preserve">-7-604. It is not the intent of </w:t>
      </w:r>
      <w:r>
        <w:rPr>
          <w:rFonts w:eastAsia="Calibri"/>
        </w:rPr>
        <w:t>either Grantor</w:t>
      </w:r>
      <w:r w:rsidRPr="00622327">
        <w:rPr>
          <w:rFonts w:eastAsia="Calibri"/>
        </w:rPr>
        <w:t xml:space="preserve"> </w:t>
      </w:r>
      <w:r>
        <w:rPr>
          <w:rFonts w:eastAsia="Calibri"/>
        </w:rPr>
        <w:t>or Grantee t</w:t>
      </w:r>
      <w:r w:rsidRPr="00622327">
        <w:rPr>
          <w:rFonts w:eastAsia="Calibri"/>
        </w:rPr>
        <w:t xml:space="preserve">o incur by contract any liability for the operations, acts, omissions of </w:t>
      </w:r>
      <w:r>
        <w:rPr>
          <w:rFonts w:eastAsia="Calibri"/>
        </w:rPr>
        <w:t xml:space="preserve">the other party </w:t>
      </w:r>
      <w:r w:rsidRPr="00622327">
        <w:rPr>
          <w:rFonts w:eastAsia="Calibri"/>
        </w:rPr>
        <w:t xml:space="preserve">or any third-party and nothing in this </w:t>
      </w:r>
      <w:r>
        <w:rPr>
          <w:rFonts w:eastAsia="Calibri"/>
        </w:rPr>
        <w:t>Easement</w:t>
      </w:r>
      <w:r w:rsidRPr="00622327">
        <w:rPr>
          <w:rFonts w:eastAsia="Calibri"/>
        </w:rPr>
        <w:t xml:space="preserve"> shall be so interpreted or construed. Without limiting the generality of the foregoing, and notwithstanding any provision to the contrary in this </w:t>
      </w:r>
      <w:r>
        <w:rPr>
          <w:rFonts w:eastAsia="Calibri"/>
        </w:rPr>
        <w:t>Easement</w:t>
      </w:r>
      <w:r w:rsidRPr="00622327">
        <w:rPr>
          <w:rFonts w:eastAsia="Calibri"/>
        </w:rPr>
        <w:t xml:space="preserve">, any indemnity obligations of </w:t>
      </w:r>
      <w:r>
        <w:rPr>
          <w:rFonts w:eastAsia="Calibri"/>
        </w:rPr>
        <w:t>Grantor or Grantee</w:t>
      </w:r>
      <w:r w:rsidRPr="00622327">
        <w:rPr>
          <w:rFonts w:eastAsia="Calibri"/>
        </w:rPr>
        <w:t xml:space="preserve"> contained in this </w:t>
      </w:r>
      <w:r>
        <w:rPr>
          <w:rFonts w:eastAsia="Calibri"/>
        </w:rPr>
        <w:t>Easement</w:t>
      </w:r>
      <w:r w:rsidRPr="00622327">
        <w:rPr>
          <w:rFonts w:eastAsia="Calibri"/>
        </w:rPr>
        <w:t xml:space="preserve"> are subject to the UGIA and are further limited only to those claims that arise directly and solely from </w:t>
      </w:r>
      <w:r>
        <w:rPr>
          <w:rFonts w:eastAsia="Calibri"/>
        </w:rPr>
        <w:t>said party’s</w:t>
      </w:r>
      <w:r w:rsidRPr="00622327">
        <w:rPr>
          <w:rFonts w:eastAsia="Calibri"/>
        </w:rPr>
        <w:t xml:space="preserve"> negligent acts or omissions.</w:t>
      </w:r>
    </w:p>
    <w:p w14:paraId="43EA9605" w14:textId="77777777" w:rsidR="00622327" w:rsidRDefault="00622327" w:rsidP="00D939E1">
      <w:pPr>
        <w:pStyle w:val="BodyText"/>
        <w:spacing w:line="242" w:lineRule="auto"/>
        <w:ind w:right="54"/>
        <w:jc w:val="both"/>
        <w:rPr>
          <w:sz w:val="22"/>
          <w:szCs w:val="22"/>
        </w:rPr>
      </w:pPr>
    </w:p>
    <w:p w14:paraId="069A4DDD" w14:textId="198A1722" w:rsidR="008C516C" w:rsidRPr="0018452D" w:rsidRDefault="00091EC7" w:rsidP="00D939E1">
      <w:pPr>
        <w:pStyle w:val="BodyText"/>
        <w:spacing w:line="242" w:lineRule="auto"/>
        <w:ind w:right="54"/>
        <w:jc w:val="both"/>
        <w:rPr>
          <w:sz w:val="22"/>
          <w:szCs w:val="22"/>
        </w:rPr>
      </w:pPr>
      <w:r w:rsidRPr="0018452D">
        <w:rPr>
          <w:sz w:val="22"/>
          <w:szCs w:val="22"/>
        </w:rPr>
        <w:t>This Easement shall be binding upon and inure to the benefit of the successors and assigns of Grantor and the successors and assigns of Grantee, and may be assigned in whole or in part by Grantee.</w:t>
      </w:r>
    </w:p>
    <w:p w14:paraId="68A9BC5F" w14:textId="77777777" w:rsidR="008C516C" w:rsidRPr="0018452D" w:rsidRDefault="008C516C">
      <w:pPr>
        <w:pStyle w:val="BodyText"/>
        <w:spacing w:before="1"/>
        <w:rPr>
          <w:sz w:val="22"/>
          <w:szCs w:val="22"/>
        </w:rPr>
      </w:pPr>
    </w:p>
    <w:p w14:paraId="52AC8557" w14:textId="78478DB7" w:rsidR="008C516C" w:rsidRPr="0018452D" w:rsidRDefault="00091EC7" w:rsidP="00D939E1">
      <w:pPr>
        <w:pStyle w:val="BodyText"/>
        <w:spacing w:line="247" w:lineRule="auto"/>
        <w:ind w:right="54"/>
        <w:jc w:val="both"/>
        <w:rPr>
          <w:sz w:val="22"/>
          <w:szCs w:val="22"/>
        </w:rPr>
      </w:pPr>
      <w:r w:rsidRPr="0018452D">
        <w:rPr>
          <w:sz w:val="22"/>
          <w:szCs w:val="22"/>
        </w:rPr>
        <w:t>It is hereby understood that any parties securing this grant on behalf of Grantee are without authority to make any representations, covenants</w:t>
      </w:r>
      <w:r w:rsidR="00925D27" w:rsidRPr="0018452D">
        <w:rPr>
          <w:sz w:val="22"/>
          <w:szCs w:val="22"/>
        </w:rPr>
        <w:t>,</w:t>
      </w:r>
      <w:r w:rsidRPr="0018452D">
        <w:rPr>
          <w:sz w:val="22"/>
          <w:szCs w:val="22"/>
        </w:rPr>
        <w:t xml:space="preserve"> or agreements not herein expressed.</w:t>
      </w:r>
    </w:p>
    <w:p w14:paraId="3F844BF9" w14:textId="77777777" w:rsidR="008C516C" w:rsidRPr="0018452D" w:rsidRDefault="008C516C">
      <w:pPr>
        <w:pStyle w:val="BodyText"/>
        <w:spacing w:before="3"/>
        <w:rPr>
          <w:sz w:val="22"/>
          <w:szCs w:val="22"/>
        </w:rPr>
      </w:pPr>
    </w:p>
    <w:p w14:paraId="5163627A" w14:textId="1CC36805" w:rsidR="008C516C" w:rsidRPr="009A108C" w:rsidRDefault="00091EC7" w:rsidP="00D939E1">
      <w:pPr>
        <w:spacing w:before="90"/>
        <w:ind w:right="54"/>
        <w:jc w:val="center"/>
        <w:rPr>
          <w:b/>
          <w:bCs/>
          <w:i/>
        </w:rPr>
      </w:pPr>
      <w:r w:rsidRPr="009A108C">
        <w:rPr>
          <w:b/>
          <w:bCs/>
          <w:i/>
        </w:rPr>
        <w:t>[signatures</w:t>
      </w:r>
      <w:r w:rsidR="00D939E1" w:rsidRPr="009A108C">
        <w:rPr>
          <w:b/>
          <w:bCs/>
          <w:i/>
        </w:rPr>
        <w:t xml:space="preserve"> and notary on following page</w:t>
      </w:r>
      <w:r w:rsidRPr="009A108C">
        <w:rPr>
          <w:b/>
          <w:bCs/>
          <w:i/>
        </w:rPr>
        <w:t>]</w:t>
      </w:r>
    </w:p>
    <w:p w14:paraId="6CC5C60C" w14:textId="77777777" w:rsidR="008C516C" w:rsidRDefault="008C516C" w:rsidP="00D939E1">
      <w:pPr>
        <w:rPr>
          <w:sz w:val="24"/>
        </w:rPr>
        <w:sectPr w:rsidR="008C516C" w:rsidSect="006D01DE">
          <w:footerReference w:type="default" r:id="rId7"/>
          <w:pgSz w:w="12240" w:h="15840"/>
          <w:pgMar w:top="720" w:right="1008" w:bottom="1440" w:left="1008" w:header="0" w:footer="893" w:gutter="0"/>
          <w:cols w:space="720"/>
          <w:docGrid w:linePitch="299"/>
        </w:sectPr>
      </w:pPr>
    </w:p>
    <w:p w14:paraId="44E527C8" w14:textId="46F2A9D6" w:rsidR="008C516C" w:rsidRPr="009A108C" w:rsidRDefault="00925D27" w:rsidP="00BE30CB">
      <w:pPr>
        <w:pStyle w:val="BodyText"/>
        <w:spacing w:before="126" w:line="232" w:lineRule="auto"/>
        <w:ind w:right="834"/>
        <w:rPr>
          <w:sz w:val="22"/>
          <w:szCs w:val="22"/>
        </w:rPr>
      </w:pPr>
      <w:r>
        <w:lastRenderedPageBreak/>
        <w:tab/>
      </w:r>
      <w:r w:rsidR="00091EC7" w:rsidRPr="009A108C">
        <w:rPr>
          <w:sz w:val="22"/>
          <w:szCs w:val="22"/>
        </w:rPr>
        <w:t>IN WITNESS WHEREOF, Grantor has caused its name and seal to be hereunto affixed</w:t>
      </w:r>
      <w:r w:rsidR="00091EC7" w:rsidRPr="009A108C">
        <w:rPr>
          <w:spacing w:val="9"/>
          <w:sz w:val="22"/>
          <w:szCs w:val="22"/>
        </w:rPr>
        <w:t xml:space="preserve"> </w:t>
      </w:r>
      <w:r w:rsidR="00091EC7" w:rsidRPr="009A108C">
        <w:rPr>
          <w:sz w:val="22"/>
          <w:szCs w:val="22"/>
        </w:rPr>
        <w:t>this</w:t>
      </w:r>
      <w:r w:rsidRPr="009A108C">
        <w:rPr>
          <w:sz w:val="22"/>
          <w:szCs w:val="22"/>
        </w:rPr>
        <w:t xml:space="preserve"> 12</w:t>
      </w:r>
      <w:r w:rsidRPr="009A108C">
        <w:rPr>
          <w:sz w:val="22"/>
          <w:szCs w:val="22"/>
          <w:vertAlign w:val="superscript"/>
        </w:rPr>
        <w:t>th</w:t>
      </w:r>
      <w:r w:rsidRPr="009A108C">
        <w:rPr>
          <w:sz w:val="22"/>
          <w:szCs w:val="22"/>
        </w:rPr>
        <w:t xml:space="preserve"> da</w:t>
      </w:r>
      <w:r w:rsidR="00091EC7" w:rsidRPr="009A108C">
        <w:rPr>
          <w:sz w:val="22"/>
          <w:szCs w:val="22"/>
        </w:rPr>
        <w:t>y</w:t>
      </w:r>
      <w:r w:rsidR="00091EC7" w:rsidRPr="009A108C">
        <w:rPr>
          <w:spacing w:val="-2"/>
          <w:sz w:val="22"/>
          <w:szCs w:val="22"/>
        </w:rPr>
        <w:t xml:space="preserve"> </w:t>
      </w:r>
      <w:r w:rsidR="00091EC7" w:rsidRPr="009A108C">
        <w:rPr>
          <w:sz w:val="22"/>
          <w:szCs w:val="22"/>
        </w:rPr>
        <w:t>of</w:t>
      </w:r>
      <w:r w:rsidRPr="009A108C">
        <w:rPr>
          <w:sz w:val="22"/>
          <w:szCs w:val="22"/>
        </w:rPr>
        <w:t xml:space="preserve"> June</w:t>
      </w:r>
      <w:r w:rsidR="00091EC7" w:rsidRPr="009A108C">
        <w:rPr>
          <w:sz w:val="22"/>
          <w:szCs w:val="22"/>
        </w:rPr>
        <w:t>,</w:t>
      </w:r>
      <w:r w:rsidR="00091EC7" w:rsidRPr="009A108C">
        <w:rPr>
          <w:spacing w:val="4"/>
          <w:sz w:val="22"/>
          <w:szCs w:val="22"/>
        </w:rPr>
        <w:t xml:space="preserve"> </w:t>
      </w:r>
      <w:r w:rsidR="00091EC7" w:rsidRPr="009A108C">
        <w:rPr>
          <w:sz w:val="22"/>
          <w:szCs w:val="22"/>
        </w:rPr>
        <w:t>2024.</w:t>
      </w:r>
    </w:p>
    <w:p w14:paraId="23FA319A" w14:textId="504D9851" w:rsidR="009E132A" w:rsidRPr="009A108C" w:rsidRDefault="009E132A">
      <w:pPr>
        <w:pStyle w:val="BodyText"/>
        <w:tabs>
          <w:tab w:val="left" w:pos="2526"/>
          <w:tab w:val="left" w:pos="4005"/>
        </w:tabs>
        <w:spacing w:before="126" w:line="232" w:lineRule="auto"/>
        <w:ind w:left="831" w:right="834" w:firstLine="2"/>
        <w:rPr>
          <w:sz w:val="22"/>
          <w:szCs w:val="22"/>
        </w:rPr>
      </w:pPr>
    </w:p>
    <w:p w14:paraId="1686FE94" w14:textId="7427E4B0" w:rsidR="00925D27" w:rsidRPr="009A108C" w:rsidRDefault="00EF5C9C"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9A108C">
        <w:rPr>
          <w:b/>
          <w:bCs/>
        </w:rPr>
        <w:tab/>
      </w:r>
      <w:r w:rsidR="00925D27" w:rsidRPr="009A108C">
        <w:rPr>
          <w:b/>
          <w:bCs/>
        </w:rPr>
        <w:t>BOARD OF EDUCATION OF</w:t>
      </w:r>
    </w:p>
    <w:p w14:paraId="7ED967D8" w14:textId="397D2EAC" w:rsidR="00CA6D02" w:rsidRPr="009A108C" w:rsidRDefault="00925D27"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9A108C">
        <w:rPr>
          <w:bCs/>
        </w:rPr>
        <w:tab/>
      </w:r>
      <w:r w:rsidR="00CA6D02" w:rsidRPr="009A108C">
        <w:rPr>
          <w:b/>
        </w:rPr>
        <w:t>NEBO SCHOOL DISTRICT</w:t>
      </w:r>
    </w:p>
    <w:p w14:paraId="7571C806" w14:textId="12744458" w:rsidR="00CA6D02" w:rsidRPr="009A108C" w:rsidRDefault="00CA6D02"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A108C">
        <w:rPr>
          <w:bCs/>
        </w:rPr>
        <w:tab/>
        <w:t xml:space="preserve">A </w:t>
      </w:r>
      <w:r w:rsidR="00925D27" w:rsidRPr="009A108C">
        <w:rPr>
          <w:bCs/>
        </w:rPr>
        <w:t>body corporate and politic o</w:t>
      </w:r>
      <w:r w:rsidRPr="009A108C">
        <w:rPr>
          <w:bCs/>
        </w:rPr>
        <w:t>f the State of Utah</w:t>
      </w:r>
    </w:p>
    <w:p w14:paraId="5BD15548" w14:textId="77777777" w:rsidR="009A108C" w:rsidRDefault="009A108C"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C93FB2" w14:textId="08C19290" w:rsidR="00CA6D02" w:rsidRPr="009A108C" w:rsidRDefault="00CA6D02"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A108C">
        <w:rPr>
          <w:bCs/>
        </w:rPr>
        <w:tab/>
      </w:r>
      <w:bookmarkStart w:id="0" w:name="_Hlk167173422"/>
      <w:r w:rsidRPr="009A108C">
        <w:rPr>
          <w:bCs/>
        </w:rPr>
        <w:t>____________________________________</w:t>
      </w:r>
      <w:r w:rsidRPr="009A108C">
        <w:rPr>
          <w:bCs/>
        </w:rPr>
        <w:tab/>
      </w:r>
      <w:r w:rsidRPr="009A108C">
        <w:rPr>
          <w:bCs/>
        </w:rPr>
        <w:tab/>
      </w:r>
    </w:p>
    <w:p w14:paraId="5A91A3C6" w14:textId="5145FB54" w:rsidR="00A00DE5" w:rsidRPr="009A108C" w:rsidRDefault="00CA6D02"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A108C">
        <w:rPr>
          <w:bCs/>
        </w:rPr>
        <w:t xml:space="preserve">             Lisa H Rowley, Board President </w:t>
      </w:r>
    </w:p>
    <w:p w14:paraId="24208F86" w14:textId="0FEC780F" w:rsidR="00CA6D02" w:rsidRPr="009A108C" w:rsidRDefault="00CA6D02"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bookmarkEnd w:id="0"/>
    <w:p w14:paraId="7DF22FB1" w14:textId="2134F643" w:rsidR="00925D27" w:rsidRPr="009A108C" w:rsidRDefault="009A108C" w:rsidP="00925D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Pr>
          <w:bCs/>
        </w:rPr>
        <w:tab/>
      </w:r>
      <w:r w:rsidR="00925D27" w:rsidRPr="009A108C">
        <w:rPr>
          <w:bCs/>
        </w:rPr>
        <w:t>____________________________________</w:t>
      </w:r>
      <w:r w:rsidR="00925D27" w:rsidRPr="009A108C">
        <w:rPr>
          <w:bCs/>
        </w:rPr>
        <w:tab/>
      </w:r>
      <w:r w:rsidR="00925D27" w:rsidRPr="009A108C">
        <w:rPr>
          <w:bCs/>
        </w:rPr>
        <w:tab/>
      </w:r>
    </w:p>
    <w:p w14:paraId="4F1C9322" w14:textId="23268F2E" w:rsidR="00925D27" w:rsidRPr="009A108C" w:rsidRDefault="00925D27" w:rsidP="00925D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A108C">
        <w:rPr>
          <w:bCs/>
        </w:rPr>
        <w:t xml:space="preserve">             Michael Harrison, Business Administrator </w:t>
      </w:r>
    </w:p>
    <w:p w14:paraId="1FEBEEA3" w14:textId="77777777" w:rsidR="00925D27" w:rsidRPr="009A108C" w:rsidRDefault="00925D27"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10A42EF" w14:textId="77777777" w:rsidR="00CA6D02" w:rsidRPr="009A108C" w:rsidRDefault="00CA6D02" w:rsidP="00CA6D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2361F88" w14:textId="77777777" w:rsidR="00A00DE5" w:rsidRPr="009A108C" w:rsidRDefault="00A00DE5" w:rsidP="009A108C">
      <w:r w:rsidRPr="009A108C">
        <w:t>STATE OF UTAH</w:t>
      </w:r>
      <w:r w:rsidRPr="009A108C">
        <w:tab/>
      </w:r>
      <w:r w:rsidRPr="009A108C">
        <w:tab/>
        <w:t>)</w:t>
      </w:r>
    </w:p>
    <w:p w14:paraId="616470AE" w14:textId="20024F6A" w:rsidR="00A00DE5" w:rsidRPr="009A108C" w:rsidRDefault="009A108C" w:rsidP="00A00DE5">
      <w:r>
        <w:tab/>
      </w:r>
      <w:r w:rsidR="00A00DE5" w:rsidRPr="009A108C">
        <w:tab/>
      </w:r>
      <w:r w:rsidR="00A00DE5" w:rsidRPr="009A108C">
        <w:tab/>
      </w:r>
      <w:r w:rsidR="00A00DE5" w:rsidRPr="009A108C">
        <w:tab/>
        <w:t>ss</w:t>
      </w:r>
    </w:p>
    <w:p w14:paraId="6543BFF7" w14:textId="77777777" w:rsidR="00A00DE5" w:rsidRPr="009A108C" w:rsidRDefault="00A00DE5" w:rsidP="009A108C">
      <w:r w:rsidRPr="009A108C">
        <w:t>COUNTY OF UTAH</w:t>
      </w:r>
      <w:r w:rsidRPr="009A108C">
        <w:tab/>
      </w:r>
      <w:r w:rsidRPr="009A108C">
        <w:tab/>
        <w:t>)</w:t>
      </w:r>
    </w:p>
    <w:p w14:paraId="73285120" w14:textId="77777777" w:rsidR="00A00DE5" w:rsidRPr="009A108C" w:rsidRDefault="00A00DE5" w:rsidP="00A00DE5"/>
    <w:p w14:paraId="6CBD3621" w14:textId="35ECD7F2" w:rsidR="00A00DE5" w:rsidRPr="009A108C" w:rsidRDefault="00A00DE5" w:rsidP="00FE3F3B">
      <w:pPr>
        <w:ind w:firstLine="720"/>
        <w:jc w:val="both"/>
      </w:pPr>
      <w:r w:rsidRPr="009A108C">
        <w:t xml:space="preserve">On the </w:t>
      </w:r>
      <w:r w:rsidR="00925D27" w:rsidRPr="009A108C">
        <w:t>12</w:t>
      </w:r>
      <w:r w:rsidR="00925D27" w:rsidRPr="009A108C">
        <w:rPr>
          <w:vertAlign w:val="superscript"/>
        </w:rPr>
        <w:t>th</w:t>
      </w:r>
      <w:r w:rsidR="00925D27" w:rsidRPr="009A108C">
        <w:t xml:space="preserve"> </w:t>
      </w:r>
      <w:r w:rsidRPr="009A108C">
        <w:t xml:space="preserve">day of </w:t>
      </w:r>
      <w:r w:rsidR="00925D27" w:rsidRPr="009A108C">
        <w:t>June</w:t>
      </w:r>
      <w:r w:rsidRPr="009A108C">
        <w:t>, 20</w:t>
      </w:r>
      <w:r w:rsidR="00925D27" w:rsidRPr="009A108C">
        <w:t>24</w:t>
      </w:r>
      <w:r w:rsidRPr="009A108C">
        <w:t>, personally appeared before me, Lisa H Rowley</w:t>
      </w:r>
      <w:r w:rsidR="00925D27" w:rsidRPr="009A108C">
        <w:t xml:space="preserve"> and Michael Harrison</w:t>
      </w:r>
      <w:r w:rsidRPr="009A108C">
        <w:t>, whose identit</w:t>
      </w:r>
      <w:r w:rsidR="00925D27" w:rsidRPr="009A108C">
        <w:t>ies</w:t>
      </w:r>
      <w:r w:rsidRPr="009A108C">
        <w:t xml:space="preserve"> w</w:t>
      </w:r>
      <w:r w:rsidR="00925D27" w:rsidRPr="009A108C">
        <w:t>ere</w:t>
      </w:r>
      <w:r w:rsidRPr="009A108C">
        <w:t xml:space="preserve"> proven on the basis of satisfactory evidence, and who by me duly sworn/affirmed, did say that </w:t>
      </w:r>
      <w:r w:rsidR="00925D27" w:rsidRPr="009A108C">
        <w:t>they</w:t>
      </w:r>
      <w:r w:rsidRPr="009A108C">
        <w:t xml:space="preserve"> </w:t>
      </w:r>
      <w:r w:rsidR="00925D27" w:rsidRPr="009A108C">
        <w:t>are</w:t>
      </w:r>
      <w:r w:rsidRPr="009A108C">
        <w:t xml:space="preserve"> the Board President </w:t>
      </w:r>
      <w:r w:rsidR="00925D27" w:rsidRPr="009A108C">
        <w:t xml:space="preserve">and Business Administrator, respectively, </w:t>
      </w:r>
      <w:r w:rsidRPr="009A108C">
        <w:t xml:space="preserve">of </w:t>
      </w:r>
      <w:r w:rsidR="00925D27" w:rsidRPr="009A108C">
        <w:t xml:space="preserve">the </w:t>
      </w:r>
      <w:r w:rsidR="00FE3F3B" w:rsidRPr="009A108C">
        <w:t>BOARD OF EDUCATION OF NEBO SCHOOL DISTRICT</w:t>
      </w:r>
      <w:r w:rsidRPr="009A108C">
        <w:t xml:space="preserve">, a </w:t>
      </w:r>
      <w:r w:rsidR="00925D27" w:rsidRPr="009A108C">
        <w:t xml:space="preserve">body corporate and politic of the </w:t>
      </w:r>
      <w:r w:rsidRPr="009A108C">
        <w:t xml:space="preserve">State of Utah, and that said document was signed by </w:t>
      </w:r>
      <w:r w:rsidR="00925D27" w:rsidRPr="009A108C">
        <w:t xml:space="preserve">them </w:t>
      </w:r>
      <w:r w:rsidRPr="009A108C">
        <w:t xml:space="preserve">on behalf of said </w:t>
      </w:r>
      <w:r w:rsidR="00925D27" w:rsidRPr="009A108C">
        <w:t xml:space="preserve">school district </w:t>
      </w:r>
      <w:r w:rsidRPr="009A108C">
        <w:t>by authority of its</w:t>
      </w:r>
      <w:r w:rsidR="00925D27" w:rsidRPr="009A108C">
        <w:t xml:space="preserve"> </w:t>
      </w:r>
      <w:r w:rsidRPr="009A108C">
        <w:t xml:space="preserve">Resolution of its Board of </w:t>
      </w:r>
      <w:r w:rsidR="00925D27" w:rsidRPr="009A108C">
        <w:t>Education</w:t>
      </w:r>
      <w:r w:rsidRPr="009A108C">
        <w:t xml:space="preserve">, and </w:t>
      </w:r>
      <w:r w:rsidR="00925D27" w:rsidRPr="009A108C">
        <w:t>they</w:t>
      </w:r>
      <w:r w:rsidRPr="009A108C">
        <w:t xml:space="preserve"> acknowledged to me that </w:t>
      </w:r>
      <w:r w:rsidR="00925D27" w:rsidRPr="009A108C">
        <w:t>they</w:t>
      </w:r>
      <w:r w:rsidRPr="009A108C">
        <w:t xml:space="preserve"> executed the same.</w:t>
      </w:r>
    </w:p>
    <w:p w14:paraId="31D2736B" w14:textId="77777777" w:rsidR="00A00DE5" w:rsidRPr="009A108C" w:rsidRDefault="00A00DE5" w:rsidP="00925D27"/>
    <w:p w14:paraId="71A2AB35" w14:textId="3FF49943" w:rsidR="00A00DE5" w:rsidRPr="009A108C" w:rsidRDefault="00A00DE5" w:rsidP="00925D27">
      <w:pPr>
        <w:rPr>
          <w:u w:val="single"/>
        </w:rPr>
      </w:pPr>
      <w:r w:rsidRPr="009A108C">
        <w:tab/>
      </w:r>
      <w:r w:rsidRPr="009A108C">
        <w:tab/>
      </w:r>
      <w:r w:rsidRPr="009A108C">
        <w:tab/>
      </w:r>
      <w:r w:rsidRPr="009A108C">
        <w:tab/>
      </w:r>
      <w:r w:rsidR="00925D27" w:rsidRPr="009A108C">
        <w:tab/>
      </w:r>
      <w:r w:rsidRPr="009A108C">
        <w:tab/>
      </w:r>
      <w:r w:rsidRPr="009A108C">
        <w:tab/>
      </w:r>
      <w:r w:rsidR="00925D27" w:rsidRPr="009A108C">
        <w:tab/>
      </w:r>
      <w:r w:rsidRPr="009A108C">
        <w:rPr>
          <w:u w:val="single"/>
        </w:rPr>
        <w:tab/>
      </w:r>
      <w:r w:rsidRPr="009A108C">
        <w:rPr>
          <w:u w:val="single"/>
        </w:rPr>
        <w:tab/>
      </w:r>
      <w:r w:rsidRPr="009A108C">
        <w:rPr>
          <w:u w:val="single"/>
        </w:rPr>
        <w:tab/>
      </w:r>
      <w:r w:rsidRPr="009A108C">
        <w:rPr>
          <w:u w:val="single"/>
        </w:rPr>
        <w:tab/>
      </w:r>
      <w:r w:rsidRPr="009A108C">
        <w:rPr>
          <w:u w:val="single"/>
        </w:rPr>
        <w:tab/>
      </w:r>
      <w:r w:rsidRPr="009A108C">
        <w:rPr>
          <w:u w:val="single"/>
        </w:rPr>
        <w:tab/>
      </w:r>
    </w:p>
    <w:p w14:paraId="088EFA35" w14:textId="346BDDC3" w:rsidR="00A00DE5" w:rsidRPr="009A108C" w:rsidRDefault="00A00DE5" w:rsidP="00925D27">
      <w:pPr>
        <w:ind w:left="5040" w:firstLine="720"/>
      </w:pPr>
      <w:r w:rsidRPr="009A108C">
        <w:t>Notary Public</w:t>
      </w:r>
    </w:p>
    <w:p w14:paraId="0509D5D8" w14:textId="655D7291" w:rsidR="00CA6D02" w:rsidRPr="009A108C" w:rsidRDefault="00CA6D02" w:rsidP="00925D27">
      <w:pPr>
        <w:ind w:left="5760"/>
      </w:pPr>
    </w:p>
    <w:p w14:paraId="4D01203B" w14:textId="3F3E656E" w:rsidR="00CA6D02" w:rsidRPr="009A108C" w:rsidRDefault="00CA6D02" w:rsidP="00A00DE5">
      <w:pPr>
        <w:ind w:left="5760"/>
      </w:pPr>
    </w:p>
    <w:p w14:paraId="57C5F950" w14:textId="60FA4F6C" w:rsidR="00CA6D02" w:rsidRPr="009A108C" w:rsidRDefault="00CA6D02" w:rsidP="00A00DE5">
      <w:pPr>
        <w:ind w:left="5760"/>
      </w:pPr>
    </w:p>
    <w:p w14:paraId="7DC5C882" w14:textId="27AA211C" w:rsidR="00CA6D02" w:rsidRDefault="00CA6D02" w:rsidP="00A00DE5">
      <w:pPr>
        <w:ind w:left="5760"/>
        <w:rPr>
          <w:sz w:val="24"/>
          <w:szCs w:val="24"/>
        </w:rPr>
      </w:pPr>
    </w:p>
    <w:p w14:paraId="44C4E8A4" w14:textId="511DC1A1" w:rsidR="00CA6D02" w:rsidRDefault="00CA6D02" w:rsidP="00A00DE5">
      <w:pPr>
        <w:ind w:left="5760"/>
        <w:rPr>
          <w:sz w:val="24"/>
          <w:szCs w:val="24"/>
        </w:rPr>
      </w:pPr>
    </w:p>
    <w:p w14:paraId="227CA869" w14:textId="6611B296" w:rsidR="008C516C" w:rsidRDefault="00CA6D02" w:rsidP="00925D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0"/>
        </w:rPr>
      </w:pPr>
      <w:r>
        <w:rPr>
          <w:b/>
          <w:bCs/>
        </w:rPr>
        <w:tab/>
      </w:r>
      <w:r>
        <w:rPr>
          <w:b/>
          <w:bCs/>
        </w:rPr>
        <w:tab/>
      </w:r>
    </w:p>
    <w:p w14:paraId="2355876F" w14:textId="5A6F3F9C" w:rsidR="008C516C" w:rsidRDefault="008C516C">
      <w:pPr>
        <w:pStyle w:val="BodyText"/>
        <w:spacing w:before="9"/>
        <w:rPr>
          <w:sz w:val="19"/>
        </w:rPr>
      </w:pPr>
    </w:p>
    <w:p w14:paraId="78E82659" w14:textId="7D142CFF" w:rsidR="00925D27" w:rsidRPr="00925D27" w:rsidRDefault="00925D27" w:rsidP="00925D27"/>
    <w:p w14:paraId="0A0F3ED5" w14:textId="05EA1F2A" w:rsidR="00925D27" w:rsidRPr="00925D27" w:rsidRDefault="00925D27" w:rsidP="00925D27"/>
    <w:p w14:paraId="01BA4110" w14:textId="615EBC22" w:rsidR="00925D27" w:rsidRPr="00925D27" w:rsidRDefault="00925D27" w:rsidP="00925D27"/>
    <w:p w14:paraId="0A643C79" w14:textId="4270A973" w:rsidR="00925D27" w:rsidRPr="00925D27" w:rsidRDefault="00925D27" w:rsidP="00925D27"/>
    <w:p w14:paraId="77218328" w14:textId="5BB18253" w:rsidR="00925D27" w:rsidRPr="00925D27" w:rsidRDefault="00925D27" w:rsidP="00925D27"/>
    <w:p w14:paraId="43E1A077" w14:textId="41D5C7CD" w:rsidR="00925D27" w:rsidRPr="00925D27" w:rsidRDefault="00925D27" w:rsidP="00925D27"/>
    <w:p w14:paraId="415EE3C1" w14:textId="70544C9C" w:rsidR="00925D27" w:rsidRPr="00925D27" w:rsidRDefault="00925D27" w:rsidP="00925D27"/>
    <w:p w14:paraId="6D0BF348" w14:textId="7E80FFAC" w:rsidR="00925D27" w:rsidRPr="00925D27" w:rsidRDefault="00925D27" w:rsidP="00925D27"/>
    <w:p w14:paraId="35DD66B1" w14:textId="09B95BDC" w:rsidR="00925D27" w:rsidRPr="00925D27" w:rsidRDefault="00925D27" w:rsidP="00925D27"/>
    <w:p w14:paraId="2705CC4F" w14:textId="247BADD2" w:rsidR="00925D27" w:rsidRPr="00925D27" w:rsidRDefault="00925D27" w:rsidP="00925D27"/>
    <w:p w14:paraId="37C810D4" w14:textId="113A700F" w:rsidR="00925D27" w:rsidRPr="00925D27" w:rsidRDefault="00925D27" w:rsidP="00925D27"/>
    <w:p w14:paraId="09E9972A" w14:textId="6158E412" w:rsidR="00925D27" w:rsidRPr="00925D27" w:rsidRDefault="00925D27" w:rsidP="00925D27"/>
    <w:p w14:paraId="2A328120" w14:textId="6E906264" w:rsidR="00925D27" w:rsidRPr="00925D27" w:rsidRDefault="00925D27" w:rsidP="00925D27"/>
    <w:p w14:paraId="341B9841" w14:textId="21ACCE41" w:rsidR="00925D27" w:rsidRPr="00925D27" w:rsidRDefault="00925D27" w:rsidP="00925D27"/>
    <w:p w14:paraId="7D7168E1" w14:textId="02D174B5" w:rsidR="00925D27" w:rsidRPr="00925D27" w:rsidRDefault="00925D27" w:rsidP="00925D27"/>
    <w:p w14:paraId="3876E5B2" w14:textId="4456C25F" w:rsidR="00925D27" w:rsidRDefault="00925D27" w:rsidP="00925D27">
      <w:pPr>
        <w:rPr>
          <w:sz w:val="19"/>
          <w:szCs w:val="24"/>
        </w:rPr>
      </w:pPr>
    </w:p>
    <w:p w14:paraId="4F6B85C9" w14:textId="6AF8509A" w:rsidR="00925D27" w:rsidRDefault="00925D27" w:rsidP="00925D27">
      <w:pPr>
        <w:rPr>
          <w:sz w:val="19"/>
          <w:szCs w:val="24"/>
        </w:rPr>
      </w:pPr>
    </w:p>
    <w:p w14:paraId="533902F4" w14:textId="4D3330C4" w:rsidR="00925D27" w:rsidRPr="00925D27" w:rsidRDefault="00925D27" w:rsidP="00925D27">
      <w:pPr>
        <w:tabs>
          <w:tab w:val="left" w:pos="7005"/>
        </w:tabs>
      </w:pPr>
      <w:r>
        <w:tab/>
      </w:r>
    </w:p>
    <w:sectPr w:rsidR="00925D27" w:rsidRPr="00925D27" w:rsidSect="00A92EB2">
      <w:pgSz w:w="12240" w:h="15840"/>
      <w:pgMar w:top="720" w:right="1008" w:bottom="1440" w:left="1008" w:header="0"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0C135" w14:textId="77777777" w:rsidR="00B801C9" w:rsidRDefault="00B801C9">
      <w:r>
        <w:separator/>
      </w:r>
    </w:p>
  </w:endnote>
  <w:endnote w:type="continuationSeparator" w:id="0">
    <w:p w14:paraId="2E28C2D5" w14:textId="77777777" w:rsidR="00B801C9" w:rsidRDefault="00B8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onsolas">
    <w:altName w:val="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2467157"/>
      <w:docPartObj>
        <w:docPartGallery w:val="Page Numbers (Bottom of Page)"/>
        <w:docPartUnique/>
      </w:docPartObj>
    </w:sdtPr>
    <w:sdtEndPr>
      <w:rPr>
        <w:color w:val="7F7F7F" w:themeColor="background1" w:themeShade="7F"/>
        <w:spacing w:val="60"/>
        <w:sz w:val="16"/>
        <w:szCs w:val="16"/>
      </w:rPr>
    </w:sdtEndPr>
    <w:sdtContent>
      <w:p w14:paraId="47EE8478" w14:textId="16FBD540" w:rsidR="00A92EB2" w:rsidRPr="00A92EB2" w:rsidRDefault="00A92EB2">
        <w:pPr>
          <w:pStyle w:val="Footer"/>
          <w:pBdr>
            <w:top w:val="single" w:sz="4" w:space="1" w:color="D9D9D9" w:themeColor="background1" w:themeShade="D9"/>
          </w:pBdr>
          <w:jc w:val="right"/>
          <w:rPr>
            <w:sz w:val="16"/>
            <w:szCs w:val="16"/>
          </w:rPr>
        </w:pPr>
        <w:r w:rsidRPr="00A92EB2">
          <w:rPr>
            <w:sz w:val="16"/>
            <w:szCs w:val="16"/>
          </w:rPr>
          <w:fldChar w:fldCharType="begin"/>
        </w:r>
        <w:r w:rsidRPr="00A92EB2">
          <w:rPr>
            <w:sz w:val="16"/>
            <w:szCs w:val="16"/>
          </w:rPr>
          <w:instrText xml:space="preserve"> PAGE   \* MERGEFORMAT </w:instrText>
        </w:r>
        <w:r w:rsidRPr="00A92EB2">
          <w:rPr>
            <w:sz w:val="16"/>
            <w:szCs w:val="16"/>
          </w:rPr>
          <w:fldChar w:fldCharType="separate"/>
        </w:r>
        <w:r w:rsidRPr="00A92EB2">
          <w:rPr>
            <w:noProof/>
            <w:sz w:val="16"/>
            <w:szCs w:val="16"/>
          </w:rPr>
          <w:t>2</w:t>
        </w:r>
        <w:r w:rsidRPr="00A92EB2">
          <w:rPr>
            <w:noProof/>
            <w:sz w:val="16"/>
            <w:szCs w:val="16"/>
          </w:rPr>
          <w:fldChar w:fldCharType="end"/>
        </w:r>
        <w:r w:rsidRPr="00A92EB2">
          <w:rPr>
            <w:sz w:val="16"/>
            <w:szCs w:val="16"/>
          </w:rPr>
          <w:t xml:space="preserve"> | </w:t>
        </w:r>
        <w:r w:rsidRPr="00A92EB2">
          <w:rPr>
            <w:color w:val="7F7F7F" w:themeColor="background1" w:themeShade="7F"/>
            <w:spacing w:val="60"/>
            <w:sz w:val="16"/>
            <w:szCs w:val="16"/>
          </w:rPr>
          <w:t>Page</w:t>
        </w:r>
      </w:p>
    </w:sdtContent>
  </w:sdt>
  <w:p w14:paraId="51CAC043" w14:textId="38E3A416" w:rsidR="008C516C" w:rsidRDefault="008C516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D9543" w14:textId="77777777" w:rsidR="00B801C9" w:rsidRDefault="00B801C9">
      <w:r>
        <w:separator/>
      </w:r>
    </w:p>
  </w:footnote>
  <w:footnote w:type="continuationSeparator" w:id="0">
    <w:p w14:paraId="637A097C" w14:textId="77777777" w:rsidR="00B801C9" w:rsidRDefault="00B80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37577"/>
    <w:multiLevelType w:val="multilevel"/>
    <w:tmpl w:val="AD7610FE"/>
    <w:lvl w:ilvl="0">
      <w:start w:val="16"/>
      <w:numFmt w:val="upperLetter"/>
      <w:lvlText w:val="%1"/>
      <w:lvlJc w:val="left"/>
      <w:pPr>
        <w:ind w:left="103" w:hanging="389"/>
      </w:pPr>
      <w:rPr>
        <w:rFonts w:hint="default"/>
      </w:rPr>
    </w:lvl>
    <w:lvl w:ilvl="1">
      <w:start w:val="15"/>
      <w:numFmt w:val="upperLetter"/>
      <w:lvlText w:val="%1.%2."/>
      <w:lvlJc w:val="left"/>
      <w:pPr>
        <w:ind w:left="103" w:hanging="389"/>
      </w:pPr>
      <w:rPr>
        <w:rFonts w:ascii="Times New Roman" w:eastAsia="Times New Roman" w:hAnsi="Times New Roman" w:cs="Times New Roman" w:hint="default"/>
        <w:spacing w:val="-1"/>
        <w:w w:val="98"/>
        <w:sz w:val="19"/>
        <w:szCs w:val="19"/>
      </w:rPr>
    </w:lvl>
    <w:lvl w:ilvl="2">
      <w:start w:val="1"/>
      <w:numFmt w:val="decimal"/>
      <w:lvlText w:val="%3."/>
      <w:lvlJc w:val="left"/>
      <w:pPr>
        <w:ind w:left="831" w:hanging="726"/>
      </w:pPr>
      <w:rPr>
        <w:rFonts w:ascii="Times New Roman" w:eastAsia="Times New Roman" w:hAnsi="Times New Roman" w:cs="Times New Roman" w:hint="default"/>
        <w:w w:val="97"/>
        <w:sz w:val="24"/>
        <w:szCs w:val="24"/>
      </w:rPr>
    </w:lvl>
    <w:lvl w:ilvl="3">
      <w:numFmt w:val="bullet"/>
      <w:lvlText w:val="•"/>
      <w:lvlJc w:val="left"/>
      <w:pPr>
        <w:ind w:left="1239" w:hanging="726"/>
      </w:pPr>
      <w:rPr>
        <w:rFonts w:hint="default"/>
      </w:rPr>
    </w:lvl>
    <w:lvl w:ilvl="4">
      <w:numFmt w:val="bullet"/>
      <w:lvlText w:val="•"/>
      <w:lvlJc w:val="left"/>
      <w:pPr>
        <w:ind w:left="1439" w:hanging="726"/>
      </w:pPr>
      <w:rPr>
        <w:rFonts w:hint="default"/>
      </w:rPr>
    </w:lvl>
    <w:lvl w:ilvl="5">
      <w:numFmt w:val="bullet"/>
      <w:lvlText w:val="•"/>
      <w:lvlJc w:val="left"/>
      <w:pPr>
        <w:ind w:left="1639" w:hanging="726"/>
      </w:pPr>
      <w:rPr>
        <w:rFonts w:hint="default"/>
      </w:rPr>
    </w:lvl>
    <w:lvl w:ilvl="6">
      <w:numFmt w:val="bullet"/>
      <w:lvlText w:val="•"/>
      <w:lvlJc w:val="left"/>
      <w:pPr>
        <w:ind w:left="1839" w:hanging="726"/>
      </w:pPr>
      <w:rPr>
        <w:rFonts w:hint="default"/>
      </w:rPr>
    </w:lvl>
    <w:lvl w:ilvl="7">
      <w:numFmt w:val="bullet"/>
      <w:lvlText w:val="•"/>
      <w:lvlJc w:val="left"/>
      <w:pPr>
        <w:ind w:left="2039" w:hanging="726"/>
      </w:pPr>
      <w:rPr>
        <w:rFonts w:hint="default"/>
      </w:rPr>
    </w:lvl>
    <w:lvl w:ilvl="8">
      <w:numFmt w:val="bullet"/>
      <w:lvlText w:val="•"/>
      <w:lvlJc w:val="left"/>
      <w:pPr>
        <w:ind w:left="2239" w:hanging="72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16C"/>
    <w:rsid w:val="00091EC7"/>
    <w:rsid w:val="001724DE"/>
    <w:rsid w:val="0018452D"/>
    <w:rsid w:val="001A0639"/>
    <w:rsid w:val="001A1ED5"/>
    <w:rsid w:val="001C6FEA"/>
    <w:rsid w:val="00271496"/>
    <w:rsid w:val="00300D6C"/>
    <w:rsid w:val="00597094"/>
    <w:rsid w:val="005C7F1A"/>
    <w:rsid w:val="00622327"/>
    <w:rsid w:val="006A0105"/>
    <w:rsid w:val="006D01DE"/>
    <w:rsid w:val="007E02D4"/>
    <w:rsid w:val="008C516C"/>
    <w:rsid w:val="00925D27"/>
    <w:rsid w:val="009A108C"/>
    <w:rsid w:val="009E132A"/>
    <w:rsid w:val="00A00DE5"/>
    <w:rsid w:val="00A92EB2"/>
    <w:rsid w:val="00B801C9"/>
    <w:rsid w:val="00BA723A"/>
    <w:rsid w:val="00BE30CB"/>
    <w:rsid w:val="00CA6D02"/>
    <w:rsid w:val="00D939E1"/>
    <w:rsid w:val="00DB7E9C"/>
    <w:rsid w:val="00ED4CB3"/>
    <w:rsid w:val="00EF5C9C"/>
    <w:rsid w:val="00FE3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2AF425"/>
  <w15:docId w15:val="{559EC1A8-DDD4-467F-9B10-0B4A9679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line="236" w:lineRule="exact"/>
      <w:ind w:left="101"/>
      <w:outlineLvl w:val="0"/>
    </w:pPr>
    <w:rPr>
      <w:rFonts w:ascii="Arial Narrow" w:eastAsia="Arial Narrow" w:hAnsi="Arial Narrow" w:cs="Arial Narrow"/>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right="121" w:firstLine="723"/>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91EC7"/>
    <w:pPr>
      <w:tabs>
        <w:tab w:val="center" w:pos="4680"/>
        <w:tab w:val="right" w:pos="9360"/>
      </w:tabs>
    </w:pPr>
  </w:style>
  <w:style w:type="character" w:customStyle="1" w:styleId="HeaderChar">
    <w:name w:val="Header Char"/>
    <w:basedOn w:val="DefaultParagraphFont"/>
    <w:link w:val="Header"/>
    <w:uiPriority w:val="99"/>
    <w:rsid w:val="00091EC7"/>
    <w:rPr>
      <w:rFonts w:ascii="Times New Roman" w:eastAsia="Times New Roman" w:hAnsi="Times New Roman" w:cs="Times New Roman"/>
    </w:rPr>
  </w:style>
  <w:style w:type="paragraph" w:styleId="Footer">
    <w:name w:val="footer"/>
    <w:basedOn w:val="Normal"/>
    <w:link w:val="FooterChar"/>
    <w:uiPriority w:val="99"/>
    <w:unhideWhenUsed/>
    <w:rsid w:val="00091EC7"/>
    <w:pPr>
      <w:tabs>
        <w:tab w:val="center" w:pos="4680"/>
        <w:tab w:val="right" w:pos="9360"/>
      </w:tabs>
    </w:pPr>
  </w:style>
  <w:style w:type="character" w:customStyle="1" w:styleId="FooterChar">
    <w:name w:val="Footer Char"/>
    <w:basedOn w:val="DefaultParagraphFont"/>
    <w:link w:val="Footer"/>
    <w:uiPriority w:val="99"/>
    <w:rsid w:val="00091EC7"/>
    <w:rPr>
      <w:rFonts w:ascii="Times New Roman" w:eastAsia="Times New Roman" w:hAnsi="Times New Roman" w:cs="Times New Roman"/>
    </w:rPr>
  </w:style>
  <w:style w:type="character" w:styleId="FootnoteReference">
    <w:name w:val="footnote reference"/>
    <w:uiPriority w:val="99"/>
    <w:rsid w:val="00EF5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Sant</dc:creator>
  <cp:lastModifiedBy>Reed Park</cp:lastModifiedBy>
  <cp:revision>2</cp:revision>
  <dcterms:created xsi:type="dcterms:W3CDTF">2024-05-23T16:59:00Z</dcterms:created>
  <dcterms:modified xsi:type="dcterms:W3CDTF">2024-05-23T16:59:00Z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2024-01-23T00:00:00Z</vt:filetime>
  </property>
  <property fmtid="{D5CDD505-2E9C-101B-9397-08002B2CF9AE}" pid="3" name="LastSaved">
    <vt:filetime>2024-05-15T00:00:00Z</vt:filetime>
  </property>
</Properties>
</file>